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7F85" w14:textId="77777777" w:rsidR="00BA0307" w:rsidRPr="00B0430D" w:rsidRDefault="00615710" w:rsidP="00BA0307">
      <w:pPr>
        <w:tabs>
          <w:tab w:val="left" w:pos="1901"/>
          <w:tab w:val="center" w:pos="4680"/>
        </w:tabs>
        <w:autoSpaceDE w:val="0"/>
        <w:autoSpaceDN w:val="0"/>
        <w:adjustRightInd w:val="0"/>
        <w:contextualSpacing/>
        <w:rPr>
          <w:rFonts w:ascii="CG Times" w:hAnsi="CG Times"/>
        </w:rPr>
      </w:pPr>
      <w:r>
        <w:rPr>
          <w:rFonts w:ascii="CG Times" w:hAnsi="CG Times"/>
        </w:rPr>
        <w:pict w14:anchorId="7E905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6pt">
            <v:imagedata r:id="rId8" o:title=""/>
          </v:shape>
        </w:pict>
      </w:r>
    </w:p>
    <w:p w14:paraId="080C1173" w14:textId="77777777" w:rsidR="00BA0307" w:rsidRPr="00B0430D" w:rsidRDefault="00BA0307" w:rsidP="00BA0307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 w:val="20"/>
        </w:rPr>
      </w:pPr>
    </w:p>
    <w:p w14:paraId="52060D44" w14:textId="77777777" w:rsidR="00BA0307" w:rsidRPr="00B0430D" w:rsidRDefault="00BA0307" w:rsidP="00BA0307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Cs w:val="24"/>
        </w:rPr>
      </w:pPr>
      <w:r w:rsidRPr="00B0430D">
        <w:rPr>
          <w:rFonts w:ascii="CG Times" w:hAnsi="CG Times"/>
          <w:b/>
          <w:bCs/>
          <w:szCs w:val="24"/>
        </w:rPr>
        <w:t>UNITED STATES DISTRICT COURT</w:t>
      </w:r>
      <w:r w:rsidRPr="00B0430D">
        <w:rPr>
          <w:rFonts w:ascii="CG Times" w:hAnsi="CG Times"/>
          <w:b/>
          <w:bCs/>
          <w:szCs w:val="24"/>
        </w:rPr>
        <w:tab/>
        <w:t>EASTERN DISTRICT OF TEXAS</w:t>
      </w:r>
    </w:p>
    <w:p w14:paraId="4D37D526" w14:textId="77777777" w:rsidR="00BA0307" w:rsidRPr="00B0430D" w:rsidRDefault="00BA0307" w:rsidP="00910074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b/>
          <w:bCs/>
          <w:sz w:val="16"/>
          <w:szCs w:val="16"/>
        </w:rPr>
      </w:pPr>
    </w:p>
    <w:p w14:paraId="71F8FEC6" w14:textId="77777777" w:rsidR="00BA0307" w:rsidRPr="00B0430D" w:rsidRDefault="00615710" w:rsidP="00910074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pict w14:anchorId="01A415DE">
          <v:shape id="_x0000_i1026" type="#_x0000_t75" style="width:540.75pt;height:6pt">
            <v:imagedata r:id="rId8" o:title=""/>
          </v:shape>
        </w:pict>
      </w:r>
    </w:p>
    <w:tbl>
      <w:tblPr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10"/>
        <w:gridCol w:w="630"/>
        <w:gridCol w:w="5040"/>
      </w:tblGrid>
      <w:tr w:rsidR="00BA0307" w:rsidRPr="00B0430D" w14:paraId="28B65879" w14:textId="77777777" w:rsidTr="00B1623C">
        <w:trPr>
          <w:trHeight w:val="855"/>
        </w:trPr>
        <w:tc>
          <w:tcPr>
            <w:tcW w:w="5310" w:type="dxa"/>
          </w:tcPr>
          <w:p w14:paraId="7852E850" w14:textId="77777777" w:rsidR="00512E7F" w:rsidRPr="00B0430D" w:rsidRDefault="00512E7F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bookmarkStart w:id="0" w:name="PlaintiffInfo"/>
            <w:bookmarkEnd w:id="0"/>
          </w:p>
          <w:p w14:paraId="1FA744F8" w14:textId="77777777" w:rsidR="00BA0307" w:rsidRPr="00B0430D" w:rsidRDefault="00910074" w:rsidP="00512E7F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  <w:bookmarkStart w:id="1" w:name="MultiplePlaintiff"/>
            <w:bookmarkEnd w:id="1"/>
          </w:p>
        </w:tc>
        <w:tc>
          <w:tcPr>
            <w:tcW w:w="630" w:type="dxa"/>
          </w:tcPr>
          <w:p w14:paraId="6F0D93F7" w14:textId="77777777" w:rsidR="00BA0307" w:rsidRPr="00B0430D" w:rsidRDefault="00BA0307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76F25B92" w14:textId="77777777" w:rsidR="00512E7F" w:rsidRPr="00B0430D" w:rsidRDefault="00BA0307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4AAFDF28" w14:textId="77777777" w:rsidR="00910074" w:rsidRPr="00B0430D" w:rsidRDefault="00512E7F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040" w:type="dxa"/>
          </w:tcPr>
          <w:p w14:paraId="5810E9C1" w14:textId="77777777" w:rsidR="00BA0307" w:rsidRPr="00B0430D" w:rsidRDefault="00BA0307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  <w:p w14:paraId="1BE4845B" w14:textId="77777777" w:rsidR="00BA0307" w:rsidRPr="00B0430D" w:rsidRDefault="00BA0307" w:rsidP="00512E7F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</w:tc>
      </w:tr>
      <w:tr w:rsidR="00512E7F" w:rsidRPr="00B0430D" w14:paraId="73A3A20C" w14:textId="77777777" w:rsidTr="00B1623C">
        <w:trPr>
          <w:trHeight w:val="270"/>
        </w:trPr>
        <w:tc>
          <w:tcPr>
            <w:tcW w:w="5310" w:type="dxa"/>
          </w:tcPr>
          <w:p w14:paraId="766CE362" w14:textId="77777777" w:rsidR="00512E7F" w:rsidRPr="00B0430D" w:rsidRDefault="00512E7F" w:rsidP="00512E7F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  <w:i/>
              </w:rPr>
              <w:t>versus</w:t>
            </w:r>
          </w:p>
        </w:tc>
        <w:tc>
          <w:tcPr>
            <w:tcW w:w="630" w:type="dxa"/>
          </w:tcPr>
          <w:p w14:paraId="4A5C271A" w14:textId="77777777" w:rsidR="00512E7F" w:rsidRPr="00B0430D" w:rsidRDefault="00512E7F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040" w:type="dxa"/>
          </w:tcPr>
          <w:p w14:paraId="4C54FE11" w14:textId="77777777" w:rsidR="00512E7F" w:rsidRPr="00B0430D" w:rsidRDefault="00512E7F" w:rsidP="00512E7F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  <w:r w:rsidRPr="00B0430D">
              <w:rPr>
                <w:rFonts w:ascii="CG Times" w:hAnsi="CG Times"/>
                <w:b/>
                <w:bCs/>
                <w:szCs w:val="24"/>
              </w:rPr>
              <w:tab/>
            </w:r>
            <w:r w:rsidRPr="00B0430D">
              <w:rPr>
                <w:rFonts w:ascii="CG Times" w:hAnsi="CG Times"/>
              </w:rPr>
              <w:t xml:space="preserve">CIVIL ACTION NO. </w:t>
            </w:r>
            <w:proofErr w:type="gramStart"/>
            <w:r w:rsidRPr="00B0430D">
              <w:rPr>
                <w:rFonts w:ascii="CG Times" w:hAnsi="CG Times"/>
              </w:rPr>
              <w:t>1:_</w:t>
            </w:r>
            <w:proofErr w:type="gramEnd"/>
            <w:r w:rsidRPr="00B0430D">
              <w:rPr>
                <w:rFonts w:ascii="CG Times" w:hAnsi="CG Times"/>
              </w:rPr>
              <w:t>_-CV-___</w:t>
            </w:r>
          </w:p>
        </w:tc>
      </w:tr>
      <w:tr w:rsidR="00512E7F" w:rsidRPr="00B0430D" w14:paraId="5D558FDA" w14:textId="77777777" w:rsidTr="00B1623C">
        <w:trPr>
          <w:trHeight w:val="882"/>
        </w:trPr>
        <w:tc>
          <w:tcPr>
            <w:tcW w:w="5310" w:type="dxa"/>
          </w:tcPr>
          <w:p w14:paraId="678C9853" w14:textId="77777777" w:rsidR="00512E7F" w:rsidRPr="00B0430D" w:rsidRDefault="00512E7F" w:rsidP="00512E7F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bookmarkStart w:id="2" w:name="DefendantInfo"/>
            <w:bookmarkEnd w:id="2"/>
          </w:p>
          <w:p w14:paraId="17BC8CA2" w14:textId="77777777" w:rsidR="00512E7F" w:rsidRPr="00B0430D" w:rsidRDefault="00512E7F" w:rsidP="00512E7F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</w:p>
          <w:p w14:paraId="376BEC95" w14:textId="77777777" w:rsidR="00512E7F" w:rsidRPr="00B0430D" w:rsidRDefault="00512E7F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</w:tc>
        <w:tc>
          <w:tcPr>
            <w:tcW w:w="630" w:type="dxa"/>
          </w:tcPr>
          <w:p w14:paraId="425FDFC7" w14:textId="77777777" w:rsidR="00512E7F" w:rsidRPr="00B0430D" w:rsidRDefault="00512E7F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7318B25A" w14:textId="77777777" w:rsidR="00512E7F" w:rsidRPr="00B0430D" w:rsidRDefault="00512E7F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157F1777" w14:textId="77777777" w:rsidR="00512E7F" w:rsidRPr="00B0430D" w:rsidRDefault="00512E7F" w:rsidP="00512E7F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040" w:type="dxa"/>
          </w:tcPr>
          <w:p w14:paraId="47B3F1F1" w14:textId="77777777" w:rsidR="00512E7F" w:rsidRPr="00B0430D" w:rsidRDefault="00512E7F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</w:tc>
      </w:tr>
    </w:tbl>
    <w:p w14:paraId="367C8E37" w14:textId="77777777" w:rsidR="00BA0307" w:rsidRPr="00B0430D" w:rsidRDefault="00BA0307" w:rsidP="0003134C">
      <w:pPr>
        <w:rPr>
          <w:rFonts w:ascii="CG Times" w:hAnsi="CG Times"/>
        </w:rPr>
      </w:pPr>
    </w:p>
    <w:p w14:paraId="63689CA9" w14:textId="77777777" w:rsidR="003F3177" w:rsidRPr="00B0430D" w:rsidRDefault="003F3177" w:rsidP="0003134C">
      <w:pPr>
        <w:jc w:val="center"/>
        <w:rPr>
          <w:rFonts w:ascii="CG Times" w:hAnsi="CG Times"/>
          <w:b/>
          <w:bCs/>
        </w:rPr>
      </w:pPr>
      <w:r w:rsidRPr="00B0430D">
        <w:rPr>
          <w:rFonts w:ascii="CG Times" w:hAnsi="CG Times"/>
          <w:b/>
          <w:bCs/>
        </w:rPr>
        <w:t>SCHEDULING ORDER</w:t>
      </w:r>
    </w:p>
    <w:p w14:paraId="3F4EE094" w14:textId="77777777" w:rsidR="003F3177" w:rsidRPr="00B0430D" w:rsidRDefault="003F3177" w:rsidP="0003134C">
      <w:pPr>
        <w:jc w:val="both"/>
        <w:rPr>
          <w:rFonts w:ascii="CG Times" w:hAnsi="CG Times"/>
        </w:rPr>
      </w:pPr>
    </w:p>
    <w:p w14:paraId="500A57CB" w14:textId="77777777" w:rsidR="003F3177" w:rsidRDefault="003F3177" w:rsidP="0003134C">
      <w:pPr>
        <w:jc w:val="both"/>
        <w:rPr>
          <w:rFonts w:ascii="CG Times" w:hAnsi="CG Times"/>
        </w:rPr>
      </w:pPr>
      <w:r w:rsidRPr="00B0430D">
        <w:rPr>
          <w:rFonts w:ascii="CG Times" w:hAnsi="CG Times"/>
        </w:rPr>
        <w:t>The following schedule shall be followed.</w:t>
      </w:r>
      <w:r w:rsidR="00D131C2" w:rsidRPr="00B0430D">
        <w:rPr>
          <w:rStyle w:val="FootnoteReference"/>
          <w:rFonts w:ascii="CG Times" w:hAnsi="CG Times"/>
        </w:rPr>
        <w:footnoteReference w:id="1"/>
      </w:r>
      <w:r w:rsidRPr="00B0430D">
        <w:rPr>
          <w:rFonts w:ascii="CG Times" w:hAnsi="CG Times"/>
        </w:rPr>
        <w:t xml:space="preserve">  All communications concerning the case shall be directed in writing to Julia Colyer, Court Administrator for Judge Crone, 300 Willow Street, Suite 239, Beaumont, TX 77701-2200.  For urgent matters, Ms. Colyer may be contacted at (409) 654-2880.</w:t>
      </w:r>
    </w:p>
    <w:p w14:paraId="37D6F245" w14:textId="77777777" w:rsidR="00CE032B" w:rsidRPr="00B0430D" w:rsidRDefault="00CE032B" w:rsidP="0003134C">
      <w:pPr>
        <w:jc w:val="both"/>
        <w:rPr>
          <w:rFonts w:ascii="CG Times" w:hAnsi="CG Times"/>
        </w:rPr>
      </w:pPr>
    </w:p>
    <w:tbl>
      <w:tblPr>
        <w:tblW w:w="11160" w:type="dxa"/>
        <w:tblInd w:w="18" w:type="dxa"/>
        <w:tblLook w:val="04A0" w:firstRow="1" w:lastRow="0" w:firstColumn="1" w:lastColumn="0" w:noHBand="0" w:noVBand="1"/>
      </w:tblPr>
      <w:tblGrid>
        <w:gridCol w:w="450"/>
        <w:gridCol w:w="3510"/>
        <w:gridCol w:w="7200"/>
      </w:tblGrid>
      <w:tr w:rsidR="00053A79" w:rsidRPr="00B1623C" w14:paraId="35248E3E" w14:textId="77777777" w:rsidTr="000A003A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0DA5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D3ED7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BE61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>NEW PARTIES shall be joined by this date.</w:t>
            </w:r>
          </w:p>
        </w:tc>
      </w:tr>
      <w:tr w:rsidR="00053A79" w:rsidRPr="00B1623C" w14:paraId="10C2BB41" w14:textId="77777777" w:rsidTr="000A003A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B5DE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ADB37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B774" w14:textId="77777777" w:rsidR="00C350FF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>The pleadings shall be AMENDED by this date.</w:t>
            </w:r>
          </w:p>
        </w:tc>
      </w:tr>
      <w:tr w:rsidR="00053A79" w:rsidRPr="00B1623C" w14:paraId="059AA2A7" w14:textId="77777777" w:rsidTr="000A003A">
        <w:trPr>
          <w:trHeight w:val="6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657D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01AB7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C210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>PLAINTIFF shall designate EXPERT WITNESSES in writing and provide expert reports by this date.</w:t>
            </w:r>
          </w:p>
        </w:tc>
      </w:tr>
      <w:tr w:rsidR="00053A79" w:rsidRPr="00B1623C" w14:paraId="31D5CAD5" w14:textId="77777777" w:rsidTr="000A003A">
        <w:trPr>
          <w:trHeight w:val="6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950C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89F8F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259D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>DEFENDANT shall designate EXPERT WITNESSES in writing and provide expert reports by this date.</w:t>
            </w:r>
          </w:p>
        </w:tc>
      </w:tr>
      <w:tr w:rsidR="00053A79" w:rsidRPr="00B1623C" w14:paraId="144991C3" w14:textId="77777777" w:rsidTr="000A003A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1C33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DD407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E1FE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>DISCOVERY shall be completed by this date.</w:t>
            </w:r>
          </w:p>
        </w:tc>
      </w:tr>
      <w:tr w:rsidR="00053A79" w:rsidRPr="00B1623C" w14:paraId="1BC2A436" w14:textId="77777777" w:rsidTr="000A003A">
        <w:trPr>
          <w:trHeight w:val="1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9A10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848CF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DD61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MOTION CUT-OFF.  Aside from motions in </w:t>
            </w:r>
            <w:proofErr w:type="spellStart"/>
            <w:r w:rsidRPr="00B1623C">
              <w:rPr>
                <w:rFonts w:ascii="CG Times" w:hAnsi="CG Times" w:cs="Calibri"/>
                <w:color w:val="000000"/>
                <w:szCs w:val="24"/>
              </w:rPr>
              <w:t>limine</w:t>
            </w:r>
            <w:proofErr w:type="spellEnd"/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, no motion, including motions to exclude or limit expert testimony, shall be filed after this date except for good cause shown.  Without leave of court, a party may file only one summary judgment motion. 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>(This date must be at least 2 weeks after the discovery completion date.)</w:t>
            </w:r>
          </w:p>
        </w:tc>
      </w:tr>
      <w:tr w:rsidR="00053A79" w:rsidRPr="00B1623C" w14:paraId="52068148" w14:textId="77777777" w:rsidTr="000A003A">
        <w:trPr>
          <w:trHeight w:val="1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7A85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2FE0E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52B3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The JOINT PRETRIAL ORDER, including motions in </w:t>
            </w:r>
            <w:proofErr w:type="spellStart"/>
            <w:r w:rsidRPr="00B1623C">
              <w:rPr>
                <w:rFonts w:ascii="CG Times" w:hAnsi="CG Times" w:cs="Calibri"/>
                <w:color w:val="000000"/>
                <w:szCs w:val="24"/>
              </w:rPr>
              <w:t>limine</w:t>
            </w:r>
            <w:proofErr w:type="spellEnd"/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 and a proposed charge or proposed findings of fact and conclusions of law, shall be filed and proposed trial exhibits shall be exchanged on or before this date. 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>(This date must be at least 12 weeks after the motion cut-off.)</w:t>
            </w:r>
          </w:p>
        </w:tc>
      </w:tr>
      <w:tr w:rsidR="00053A79" w:rsidRPr="00B1623C" w14:paraId="65839C3A" w14:textId="77777777" w:rsidTr="000A003A">
        <w:trPr>
          <w:trHeight w:val="9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8258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745FB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8A1F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OBJECTIONS TO proposed exhibits, witnesses, and deposition excerpts, as well as responses to motions in </w:t>
            </w:r>
            <w:proofErr w:type="spellStart"/>
            <w:r w:rsidRPr="00B1623C">
              <w:rPr>
                <w:rFonts w:ascii="CG Times" w:hAnsi="CG Times" w:cs="Calibri"/>
                <w:color w:val="000000"/>
                <w:szCs w:val="24"/>
              </w:rPr>
              <w:t>limine</w:t>
            </w:r>
            <w:proofErr w:type="spellEnd"/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, shall be filed by this date.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 xml:space="preserve"> (This date must be no more than 1 week after the Joint Pretrial Order is due.)</w:t>
            </w:r>
          </w:p>
        </w:tc>
      </w:tr>
      <w:tr w:rsidR="00053A79" w:rsidRPr="00B1623C" w14:paraId="68059C03" w14:textId="77777777" w:rsidTr="000A003A">
        <w:trPr>
          <w:trHeight w:val="9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5C87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5964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53ED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RESPONSES TO OBJECTIONS shall be filed by this date.  A failure to file a response to an objection shall create a presumption in favor of the court sustaining the objection. 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>(This date must be no more than 1 week after the objections are due.)</w:t>
            </w:r>
          </w:p>
        </w:tc>
      </w:tr>
      <w:tr w:rsidR="00053A79" w:rsidRPr="00B1623C" w14:paraId="54D58449" w14:textId="77777777" w:rsidTr="000A003A">
        <w:trPr>
          <w:trHeight w:val="12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1507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683A3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D2BD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FINAL STATUS CONFERENCE at 10:00 a.m. 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>(Select a date from the attached list, which must be at least 2 weeks after the responses to objections are due.)</w:t>
            </w: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  The case will be set for Final Pretrial Conference and Trial at the Final Status Conference.  The parties should be prepared to try the case by this date.</w:t>
            </w:r>
          </w:p>
        </w:tc>
      </w:tr>
      <w:tr w:rsidR="00053A79" w:rsidRPr="00B1623C" w14:paraId="1C2EA94C" w14:textId="77777777" w:rsidTr="000A003A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C674" w14:textId="77777777" w:rsidR="00B1623C" w:rsidRPr="00B1623C" w:rsidRDefault="00B1623C" w:rsidP="00053A79">
            <w:pPr>
              <w:numPr>
                <w:ilvl w:val="0"/>
                <w:numId w:val="4"/>
              </w:numPr>
              <w:spacing w:after="240"/>
              <w:ind w:left="255" w:hanging="295"/>
              <w:rPr>
                <w:rFonts w:ascii="CG Times" w:hAnsi="CG Times" w:cs="Calibri"/>
                <w:color w:val="00000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A1321" w14:textId="77777777" w:rsidR="00B1623C" w:rsidRPr="00B1623C" w:rsidRDefault="00B1623C" w:rsidP="00053A79">
            <w:pPr>
              <w:spacing w:after="240"/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9B4D" w14:textId="77777777" w:rsidR="00B1623C" w:rsidRPr="00B1623C" w:rsidRDefault="00B1623C" w:rsidP="00053A79">
            <w:pPr>
              <w:spacing w:after="240"/>
              <w:jc w:val="both"/>
              <w:rPr>
                <w:rFonts w:ascii="CG Times" w:hAnsi="CG Times" w:cs="Calibri"/>
                <w:color w:val="000000"/>
                <w:szCs w:val="24"/>
              </w:rPr>
            </w:pPr>
            <w:r w:rsidRPr="00B1623C">
              <w:rPr>
                <w:rFonts w:ascii="CG Times" w:hAnsi="CG Times" w:cs="Calibri"/>
                <w:color w:val="000000"/>
                <w:szCs w:val="24"/>
              </w:rPr>
              <w:t xml:space="preserve">Estimated time to try before a jury/the court.  </w:t>
            </w:r>
            <w:r w:rsidRPr="00B1623C">
              <w:rPr>
                <w:rFonts w:ascii="CG Times" w:hAnsi="CG Times" w:cs="Calibri"/>
                <w:b/>
                <w:bCs/>
                <w:color w:val="000000"/>
                <w:szCs w:val="24"/>
              </w:rPr>
              <w:t>(Underline one.)</w:t>
            </w:r>
          </w:p>
        </w:tc>
      </w:tr>
    </w:tbl>
    <w:p w14:paraId="452197A9" w14:textId="77777777" w:rsidR="0003134C" w:rsidRPr="00B0430D" w:rsidRDefault="0003134C" w:rsidP="00053A79">
      <w:pPr>
        <w:jc w:val="both"/>
        <w:rPr>
          <w:rFonts w:ascii="CG Times" w:hAnsi="CG Times"/>
        </w:rPr>
      </w:pPr>
    </w:p>
    <w:p w14:paraId="34C3FA13" w14:textId="77777777" w:rsidR="007B0422" w:rsidRPr="00B0430D" w:rsidRDefault="007B0422" w:rsidP="007B0422">
      <w:pPr>
        <w:jc w:val="both"/>
        <w:rPr>
          <w:rFonts w:ascii="CG Times" w:hAnsi="CG Times"/>
          <w:b/>
          <w:bCs/>
        </w:rPr>
      </w:pPr>
    </w:p>
    <w:p w14:paraId="5D5D6FE9" w14:textId="77777777" w:rsidR="007B0422" w:rsidRPr="00B0430D" w:rsidRDefault="007B0422" w:rsidP="007B0422">
      <w:pPr>
        <w:jc w:val="both"/>
        <w:rPr>
          <w:rFonts w:ascii="CG Times" w:hAnsi="CG Times"/>
          <w:b/>
          <w:bCs/>
        </w:rPr>
        <w:sectPr w:rsidR="007B0422" w:rsidRPr="00B0430D" w:rsidSect="00B0430D">
          <w:headerReference w:type="even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326"/>
        </w:sectPr>
      </w:pPr>
    </w:p>
    <w:p w14:paraId="772FC472" w14:textId="330E0870" w:rsidR="001D0F4F" w:rsidRDefault="001D0F4F" w:rsidP="00D16500">
      <w:pPr>
        <w:jc w:val="both"/>
        <w:rPr>
          <w:rFonts w:ascii="CG Times" w:hAnsi="CG Times"/>
          <w:vanish/>
        </w:rPr>
      </w:pPr>
    </w:p>
    <w:sectPr w:rsidR="001D0F4F" w:rsidSect="008C03A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E8E8" w14:textId="77777777" w:rsidR="00615710" w:rsidRDefault="00615710">
      <w:r>
        <w:separator/>
      </w:r>
    </w:p>
  </w:endnote>
  <w:endnote w:type="continuationSeparator" w:id="0">
    <w:p w14:paraId="004178FC" w14:textId="77777777" w:rsidR="00615710" w:rsidRDefault="006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0191" w14:textId="77777777" w:rsidR="00DF3EEC" w:rsidRDefault="00DF3E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1011" w14:textId="77777777" w:rsidR="00DF3EEC" w:rsidRDefault="00DF3E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7AE7" w14:textId="77777777" w:rsidR="00615710" w:rsidRDefault="00615710">
      <w:r>
        <w:separator/>
      </w:r>
    </w:p>
  </w:footnote>
  <w:footnote w:type="continuationSeparator" w:id="0">
    <w:p w14:paraId="2D9DDFC8" w14:textId="77777777" w:rsidR="00615710" w:rsidRDefault="00615710">
      <w:r>
        <w:continuationSeparator/>
      </w:r>
    </w:p>
  </w:footnote>
  <w:footnote w:id="1">
    <w:p w14:paraId="2DD614F5" w14:textId="77777777" w:rsidR="00D131C2" w:rsidRPr="00D131C2" w:rsidRDefault="00D131C2">
      <w:pPr>
        <w:pStyle w:val="FootnoteText"/>
        <w:rPr>
          <w:rFonts w:ascii="CG Times" w:hAnsi="CG Times"/>
          <w:sz w:val="22"/>
          <w:szCs w:val="22"/>
        </w:rPr>
      </w:pPr>
      <w:r w:rsidRPr="00D131C2">
        <w:rPr>
          <w:rStyle w:val="FootnoteReference"/>
          <w:rFonts w:ascii="CG Times" w:hAnsi="CG Times"/>
          <w:sz w:val="22"/>
          <w:szCs w:val="22"/>
        </w:rPr>
        <w:footnoteRef/>
      </w:r>
      <w:r w:rsidRPr="00D131C2">
        <w:rPr>
          <w:rFonts w:ascii="CG Times" w:hAnsi="CG Times"/>
          <w:sz w:val="22"/>
          <w:szCs w:val="22"/>
        </w:rPr>
        <w:t xml:space="preserve"> General Proviso:  This scheduling order does not relieve the parties from obtaining leave of court whenever required by statute, the Federal Rules of Civil Procedure, or case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FE22" w14:textId="77777777" w:rsidR="00F46118" w:rsidRDefault="0015045E">
    <w:r>
      <w:rPr>
        <w:rFonts w:ascii="Dutch 801" w:hAnsi="Dutch 801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2923" w14:textId="77777777" w:rsidR="00DF3EEC" w:rsidRDefault="00DF3E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D6BF" w14:textId="77777777" w:rsidR="00DF3EEC" w:rsidRDefault="00DF3E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C4C79E0"/>
    <w:multiLevelType w:val="hybridMultilevel"/>
    <w:tmpl w:val="54046DD8"/>
    <w:lvl w:ilvl="0" w:tplc="B60C8CA0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911"/>
    <w:multiLevelType w:val="hybridMultilevel"/>
    <w:tmpl w:val="788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4B3"/>
    <w:multiLevelType w:val="hybridMultilevel"/>
    <w:tmpl w:val="72E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118"/>
    <w:rsid w:val="000118E3"/>
    <w:rsid w:val="0003134C"/>
    <w:rsid w:val="00053A79"/>
    <w:rsid w:val="00073FAE"/>
    <w:rsid w:val="00087FE3"/>
    <w:rsid w:val="000A003A"/>
    <w:rsid w:val="000D0D1F"/>
    <w:rsid w:val="000D50E9"/>
    <w:rsid w:val="000E5D44"/>
    <w:rsid w:val="00101265"/>
    <w:rsid w:val="00116E36"/>
    <w:rsid w:val="0015045E"/>
    <w:rsid w:val="00165794"/>
    <w:rsid w:val="001A22F3"/>
    <w:rsid w:val="001C3901"/>
    <w:rsid w:val="001D0F4F"/>
    <w:rsid w:val="0021693D"/>
    <w:rsid w:val="00267823"/>
    <w:rsid w:val="00323B4B"/>
    <w:rsid w:val="0034425B"/>
    <w:rsid w:val="0035163A"/>
    <w:rsid w:val="003846DC"/>
    <w:rsid w:val="003C1181"/>
    <w:rsid w:val="003F3177"/>
    <w:rsid w:val="004700C3"/>
    <w:rsid w:val="004B55AE"/>
    <w:rsid w:val="00512E7F"/>
    <w:rsid w:val="00551538"/>
    <w:rsid w:val="005C3425"/>
    <w:rsid w:val="005D084F"/>
    <w:rsid w:val="005E328D"/>
    <w:rsid w:val="005F3A53"/>
    <w:rsid w:val="00615710"/>
    <w:rsid w:val="00625D94"/>
    <w:rsid w:val="00685B6A"/>
    <w:rsid w:val="00693CC0"/>
    <w:rsid w:val="006F45D2"/>
    <w:rsid w:val="00707181"/>
    <w:rsid w:val="00747DBE"/>
    <w:rsid w:val="007A3662"/>
    <w:rsid w:val="007B0422"/>
    <w:rsid w:val="007D5A2D"/>
    <w:rsid w:val="007F1A0B"/>
    <w:rsid w:val="008118D3"/>
    <w:rsid w:val="00816CF0"/>
    <w:rsid w:val="00820198"/>
    <w:rsid w:val="0085654B"/>
    <w:rsid w:val="00882655"/>
    <w:rsid w:val="008B0B45"/>
    <w:rsid w:val="008C03A0"/>
    <w:rsid w:val="009073CA"/>
    <w:rsid w:val="00910074"/>
    <w:rsid w:val="00977CF7"/>
    <w:rsid w:val="009819FA"/>
    <w:rsid w:val="00A1268E"/>
    <w:rsid w:val="00B01FB9"/>
    <w:rsid w:val="00B0430D"/>
    <w:rsid w:val="00B1623C"/>
    <w:rsid w:val="00B309DD"/>
    <w:rsid w:val="00B33CA9"/>
    <w:rsid w:val="00B606B1"/>
    <w:rsid w:val="00BA0307"/>
    <w:rsid w:val="00C350FF"/>
    <w:rsid w:val="00C62831"/>
    <w:rsid w:val="00CE032B"/>
    <w:rsid w:val="00CE418C"/>
    <w:rsid w:val="00D131C2"/>
    <w:rsid w:val="00D16500"/>
    <w:rsid w:val="00D23517"/>
    <w:rsid w:val="00D825F1"/>
    <w:rsid w:val="00DF3EEC"/>
    <w:rsid w:val="00DF734E"/>
    <w:rsid w:val="00E93B17"/>
    <w:rsid w:val="00EA4C17"/>
    <w:rsid w:val="00EB61A2"/>
    <w:rsid w:val="00F116A5"/>
    <w:rsid w:val="00F168A1"/>
    <w:rsid w:val="00F26640"/>
    <w:rsid w:val="00F46118"/>
    <w:rsid w:val="00F922B7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79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901"/>
    <w:rPr>
      <w:color w:val="0563C1"/>
      <w:u w:val="single"/>
    </w:r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paragraph" w:styleId="FootnoteText">
    <w:name w:val="footnote text"/>
    <w:basedOn w:val="Normal"/>
    <w:semiHidden/>
    <w:pPr>
      <w:widowControl w:val="0"/>
      <w:spacing w:line="240" w:lineRule="exact"/>
      <w:ind w:firstLine="72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nresolvedMention">
    <w:name w:val="Unresolved Mention"/>
    <w:uiPriority w:val="99"/>
    <w:semiHidden/>
    <w:unhideWhenUsed/>
    <w:rsid w:val="001C39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3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307"/>
    <w:rPr>
      <w:sz w:val="24"/>
    </w:rPr>
  </w:style>
  <w:style w:type="paragraph" w:customStyle="1" w:styleId="Caption-PlaintiffDefendant">
    <w:name w:val="Caption - Plaintiff/Defendant"/>
    <w:basedOn w:val="Normal"/>
    <w:rsid w:val="00BA0307"/>
    <w:pPr>
      <w:spacing w:line="240" w:lineRule="exact"/>
      <w:jc w:val="both"/>
    </w:pPr>
    <w:rPr>
      <w:rFonts w:ascii="Bookman Old Style" w:hAnsi="Bookman Old Style"/>
    </w:rPr>
  </w:style>
  <w:style w:type="paragraph" w:customStyle="1" w:styleId="Caption-RightSide">
    <w:name w:val="Caption - Right Side"/>
    <w:basedOn w:val="Normal"/>
    <w:rsid w:val="00BA0307"/>
    <w:pPr>
      <w:spacing w:line="240" w:lineRule="exact"/>
      <w:ind w:left="72"/>
      <w:jc w:val="both"/>
    </w:pPr>
    <w:rPr>
      <w:rFonts w:ascii="Bookman Old Style" w:hAnsi="Bookman Old Style"/>
    </w:rPr>
  </w:style>
  <w:style w:type="character" w:customStyle="1" w:styleId="boldallcaps">
    <w:name w:val="bold all caps"/>
    <w:uiPriority w:val="1"/>
    <w:rsid w:val="00BA0307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87F3-BF2B-468F-AF8F-51C3613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2021-09-23T20:03:00Z</dcterms:created>
  <dcterms:modified xsi:type="dcterms:W3CDTF">2021-09-23T20:03:00Z</dcterms:modified>
</cp:coreProperties>
</file>